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CE86E9">
      <w:pPr>
        <w:keepNext w:val="0"/>
        <w:keepLines w:val="0"/>
        <w:pageBreakBefore w:val="0"/>
        <w:widowControl/>
        <w:shd w:val="clear" w:color="auto" w:fill="FFFFFF"/>
        <w:tabs>
          <w:tab w:val="center" w:pos="5207"/>
          <w:tab w:val="left" w:pos="9855"/>
        </w:tabs>
        <w:kinsoku/>
        <w:wordWrap/>
        <w:overflowPunct/>
        <w:topLinePunct w:val="0"/>
        <w:autoSpaceDE/>
        <w:autoSpaceDN/>
        <w:bidi w:val="0"/>
        <w:adjustRightInd/>
        <w:snapToGrid/>
        <w:spacing w:line="600" w:lineRule="exact"/>
        <w:jc w:val="center"/>
        <w:textAlignment w:val="auto"/>
        <w:rPr>
          <w:rFonts w:hint="eastAsia" w:ascii="黑体" w:hAnsi="宋体" w:eastAsia="黑体" w:cs="宋体"/>
          <w:b/>
          <w:bCs/>
          <w:color w:val="000000"/>
          <w:kern w:val="0"/>
          <w:sz w:val="44"/>
          <w:szCs w:val="44"/>
          <w:shd w:val="clear" w:color="auto" w:fill="FFFFFF"/>
        </w:rPr>
      </w:pPr>
      <w:r>
        <w:rPr>
          <w:rFonts w:hint="eastAsia" w:ascii="黑体" w:hAnsi="宋体" w:eastAsia="黑体" w:cs="宋体"/>
          <w:b/>
          <w:bCs/>
          <w:color w:val="000000"/>
          <w:kern w:val="0"/>
          <w:sz w:val="44"/>
          <w:szCs w:val="44"/>
          <w:shd w:val="clear" w:color="auto" w:fill="FFFFFF"/>
        </w:rPr>
        <w:t>新晃县发改局</w:t>
      </w:r>
    </w:p>
    <w:p w14:paraId="03949846">
      <w:pPr>
        <w:keepNext w:val="0"/>
        <w:keepLines w:val="0"/>
        <w:pageBreakBefore w:val="0"/>
        <w:widowControl/>
        <w:shd w:val="clear" w:color="auto" w:fill="FFFFFF"/>
        <w:kinsoku/>
        <w:wordWrap/>
        <w:overflowPunct/>
        <w:topLinePunct w:val="0"/>
        <w:autoSpaceDE/>
        <w:autoSpaceDN/>
        <w:bidi w:val="0"/>
        <w:adjustRightInd/>
        <w:snapToGrid/>
        <w:spacing w:line="600" w:lineRule="exact"/>
        <w:jc w:val="center"/>
        <w:textAlignment w:val="auto"/>
        <w:rPr>
          <w:rFonts w:hint="eastAsia" w:ascii="黑体" w:hAnsi="宋体" w:eastAsia="黑体" w:cs="宋体"/>
          <w:b/>
          <w:bCs/>
          <w:color w:val="000000"/>
          <w:kern w:val="0"/>
          <w:sz w:val="44"/>
          <w:szCs w:val="44"/>
          <w:shd w:val="clear" w:color="auto" w:fill="FFFFFF"/>
          <w:lang w:val="en-US" w:eastAsia="zh-CN"/>
        </w:rPr>
      </w:pPr>
      <w:r>
        <w:rPr>
          <w:rFonts w:hint="eastAsia" w:ascii="黑体" w:hAnsi="宋体" w:eastAsia="黑体" w:cs="宋体"/>
          <w:b/>
          <w:bCs/>
          <w:color w:val="000000"/>
          <w:kern w:val="0"/>
          <w:sz w:val="44"/>
          <w:szCs w:val="44"/>
          <w:shd w:val="clear" w:color="auto" w:fill="FFFFFF"/>
          <w:lang w:eastAsia="zh-CN"/>
        </w:rPr>
        <w:t>2024年</w:t>
      </w:r>
      <w:r>
        <w:rPr>
          <w:rFonts w:hint="eastAsia" w:ascii="黑体" w:hAnsi="宋体" w:eastAsia="黑体" w:cs="宋体"/>
          <w:b/>
          <w:bCs/>
          <w:color w:val="000000"/>
          <w:kern w:val="0"/>
          <w:sz w:val="44"/>
          <w:szCs w:val="44"/>
          <w:shd w:val="clear" w:color="auto" w:fill="FFFFFF"/>
        </w:rPr>
        <w:t>度</w:t>
      </w:r>
      <w:r>
        <w:rPr>
          <w:rFonts w:hint="eastAsia" w:ascii="黑体" w:hAnsi="宋体" w:eastAsia="黑体" w:cs="宋体"/>
          <w:b/>
          <w:bCs/>
          <w:color w:val="000000"/>
          <w:kern w:val="0"/>
          <w:sz w:val="44"/>
          <w:szCs w:val="44"/>
          <w:shd w:val="clear" w:color="auto" w:fill="FFFFFF"/>
          <w:lang w:val="en-US" w:eastAsia="zh-CN"/>
        </w:rPr>
        <w:t>粮食储备库仓储设施专项经费</w:t>
      </w:r>
    </w:p>
    <w:p w14:paraId="54BD6051">
      <w:pPr>
        <w:keepNext w:val="0"/>
        <w:keepLines w:val="0"/>
        <w:pageBreakBefore w:val="0"/>
        <w:widowControl/>
        <w:shd w:val="clear" w:color="auto" w:fill="FFFFFF"/>
        <w:kinsoku/>
        <w:wordWrap/>
        <w:overflowPunct/>
        <w:topLinePunct w:val="0"/>
        <w:autoSpaceDE/>
        <w:autoSpaceDN/>
        <w:bidi w:val="0"/>
        <w:adjustRightInd/>
        <w:snapToGrid/>
        <w:spacing w:line="600" w:lineRule="exact"/>
        <w:jc w:val="center"/>
        <w:textAlignment w:val="auto"/>
        <w:rPr>
          <w:rFonts w:hint="eastAsia" w:ascii="黑体" w:hAnsi="宋体" w:eastAsia="黑体" w:cs="宋体"/>
          <w:b/>
          <w:bCs/>
          <w:color w:val="000000"/>
          <w:kern w:val="0"/>
          <w:sz w:val="44"/>
          <w:szCs w:val="44"/>
          <w:shd w:val="clear" w:color="auto" w:fill="FFFFFF"/>
        </w:rPr>
      </w:pPr>
      <w:r>
        <w:rPr>
          <w:rFonts w:hint="eastAsia" w:ascii="黑体" w:hAnsi="宋体" w:eastAsia="黑体" w:cs="宋体"/>
          <w:b/>
          <w:bCs/>
          <w:color w:val="000000"/>
          <w:kern w:val="0"/>
          <w:sz w:val="44"/>
          <w:szCs w:val="44"/>
          <w:shd w:val="clear" w:color="auto" w:fill="FFFFFF"/>
        </w:rPr>
        <w:t>支出绩效评价报告</w:t>
      </w:r>
    </w:p>
    <w:p w14:paraId="2E0DF96F">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sz w:val="32"/>
          <w:szCs w:val="32"/>
        </w:rPr>
      </w:pPr>
    </w:p>
    <w:p w14:paraId="7DE9650E">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黑体" w:hAnsi="宋体" w:eastAsia="黑体" w:cs="宋体"/>
          <w:b/>
          <w:bCs/>
          <w:color w:val="000000"/>
          <w:kern w:val="0"/>
          <w:sz w:val="44"/>
          <w:szCs w:val="44"/>
          <w:shd w:val="clear" w:color="auto" w:fill="FFFFFF"/>
          <w:lang w:eastAsia="zh-CN"/>
        </w:rPr>
      </w:pPr>
      <w:r>
        <w:rPr>
          <w:rFonts w:hint="eastAsia" w:ascii="仿宋_GB2312" w:eastAsia="仿宋_GB2312"/>
          <w:sz w:val="32"/>
          <w:szCs w:val="32"/>
        </w:rPr>
        <w:t>根据</w:t>
      </w:r>
      <w:r>
        <w:rPr>
          <w:rFonts w:hint="eastAsia" w:ascii="仿宋_GB2312" w:eastAsia="仿宋_GB2312"/>
          <w:sz w:val="32"/>
          <w:szCs w:val="32"/>
          <w:lang w:val="en-US" w:eastAsia="zh-CN"/>
        </w:rPr>
        <w:t>县财政局</w:t>
      </w:r>
      <w:r>
        <w:rPr>
          <w:rFonts w:hint="eastAsia" w:ascii="仿宋_GB2312" w:hAnsi="宋体" w:eastAsia="仿宋_GB2312" w:cs="宋体"/>
          <w:kern w:val="0"/>
          <w:sz w:val="32"/>
          <w:szCs w:val="32"/>
          <w:lang w:eastAsia="zh-CN"/>
        </w:rPr>
        <w:t>部门预算支出绩效自评</w:t>
      </w:r>
      <w:r>
        <w:rPr>
          <w:rFonts w:hint="eastAsia" w:ascii="仿宋_GB2312" w:eastAsia="仿宋_GB2312"/>
          <w:sz w:val="32"/>
          <w:szCs w:val="32"/>
          <w:lang w:val="en-US" w:eastAsia="zh-CN"/>
        </w:rPr>
        <w:t>工作</w:t>
      </w:r>
      <w:r>
        <w:rPr>
          <w:rFonts w:hint="eastAsia" w:ascii="仿宋_GB2312" w:hAnsi="宋体" w:eastAsia="仿宋_GB2312" w:cs="宋体"/>
          <w:kern w:val="0"/>
          <w:sz w:val="32"/>
          <w:szCs w:val="32"/>
          <w:lang w:eastAsia="zh-CN"/>
        </w:rPr>
        <w:t>要求，</w:t>
      </w:r>
      <w:r>
        <w:rPr>
          <w:rFonts w:hint="eastAsia" w:ascii="仿宋_GB2312" w:hAnsi="宋体" w:eastAsia="仿宋_GB2312" w:cs="宋体"/>
          <w:kern w:val="0"/>
          <w:sz w:val="32"/>
          <w:szCs w:val="32"/>
          <w:lang w:val="en-US" w:eastAsia="zh-CN"/>
        </w:rPr>
        <w:t>现就2024年我县粮食储备库仓储设施专项经费项目支出</w:t>
      </w:r>
      <w:r>
        <w:rPr>
          <w:rFonts w:hint="eastAsia" w:ascii="仿宋_GB2312" w:hAnsi="宋体" w:eastAsia="仿宋_GB2312" w:cs="宋体"/>
          <w:kern w:val="0"/>
          <w:sz w:val="32"/>
          <w:szCs w:val="32"/>
          <w:lang w:eastAsia="zh-CN"/>
        </w:rPr>
        <w:t>绩效自评如下：</w:t>
      </w:r>
    </w:p>
    <w:p w14:paraId="58C182AF">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val="0"/>
          <w:kern w:val="0"/>
          <w:sz w:val="32"/>
          <w:szCs w:val="32"/>
        </w:rPr>
      </w:pPr>
      <w:r>
        <w:rPr>
          <w:rFonts w:hint="eastAsia" w:ascii="黑体" w:hAnsi="黑体" w:eastAsia="黑体" w:cs="黑体"/>
          <w:b w:val="0"/>
          <w:bCs w:val="0"/>
          <w:kern w:val="0"/>
          <w:sz w:val="32"/>
          <w:szCs w:val="32"/>
        </w:rPr>
        <w:t>一、基本情况</w:t>
      </w:r>
    </w:p>
    <w:p w14:paraId="365D3228">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eastAsia="zh-CN"/>
        </w:rPr>
        <w:t>1、</w:t>
      </w:r>
      <w:r>
        <w:rPr>
          <w:rFonts w:hint="eastAsia" w:ascii="仿宋_GB2312" w:hAnsi="宋体" w:eastAsia="仿宋_GB2312" w:cs="宋体"/>
          <w:kern w:val="0"/>
          <w:sz w:val="32"/>
          <w:szCs w:val="32"/>
          <w:lang w:val="en-US" w:eastAsia="zh-CN"/>
        </w:rPr>
        <w:t>项目背景。根据</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怀化市人民政府关于认真做好粮食储备安全和管理工作的通知</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怀政办函〔2020〕33号</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文件精神，进一步完善粮油仓储设施，提升信息化管理水平。</w:t>
      </w:r>
    </w:p>
    <w:p w14:paraId="6C1D2A5B">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2、主要内容。按属地管理原则，各级财政每年安排30万元左右专项经费，加强对仓房和仓储设施的维护，建设一定规模的低温仓保障应急成品粮储备，加强智能粮食系统管理、维护和应用，不断提升粮食信息化管理水平。</w:t>
      </w:r>
    </w:p>
    <w:p w14:paraId="7C3ED6FC">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3、实施情况。2024年，根据县政府常务会议第2次会议精神，组织粮食储备库P2、P4仓空调安装工程；根据县政府常务会议第5次会议精神，组织实施粮食购销领域监管信息化建设项目以及采购清杂机、输送机“两清两吹”设备；根据省交叉检查组整改事项，组织实施空鼓维修、道路标识、P4仓地坪漆工程，采购应急成品粮托盘、测氧仪等设备；根据市发改第三季度巡查整改要求，采购鼓风机、精米机等设备。</w:t>
      </w:r>
    </w:p>
    <w:p w14:paraId="3529236A">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hint="eastAsia"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hAnsi="宋体" w:eastAsia="仿宋_GB2312" w:cs="宋体"/>
          <w:kern w:val="0"/>
          <w:sz w:val="32"/>
          <w:szCs w:val="32"/>
          <w:lang w:val="en-US" w:eastAsia="zh-CN"/>
        </w:rPr>
        <w:t>4、资金投入和使用情况。2024年仓储设施专项经费预</w:t>
      </w:r>
      <w:r>
        <w:rPr>
          <w:rFonts w:hint="eastAsia" w:ascii="仿宋_GB2312" w:eastAsia="仿宋_GB2312" w:cs="Times New Roman"/>
          <w:color w:val="000000" w:themeColor="text1"/>
          <w:sz w:val="32"/>
          <w:szCs w:val="32"/>
          <w:lang w:val="en-US" w:eastAsia="zh-CN"/>
          <w14:textFill>
            <w14:solidFill>
              <w14:schemeClr w14:val="tx1"/>
            </w14:solidFill>
          </w14:textFill>
        </w:rPr>
        <w:t>算资金300000元，实际投入300000元。</w:t>
      </w:r>
    </w:p>
    <w:p w14:paraId="5A03991C">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hint="default"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5、项目绩效目标。目前我县粮食储备库仓储设施进一步完善，</w:t>
      </w:r>
      <w:r>
        <w:rPr>
          <w:rFonts w:hint="eastAsia" w:ascii="仿宋_GB2312" w:hAnsi="仿宋_GB2312" w:eastAsia="仿宋_GB2312" w:cs="仿宋_GB2312"/>
          <w:b w:val="0"/>
          <w:color w:val="auto"/>
          <w:kern w:val="2"/>
          <w:sz w:val="32"/>
          <w:szCs w:val="32"/>
          <w:lang w:val="en-US" w:eastAsia="zh-CN" w:bidi="ar-SA"/>
        </w:rPr>
        <w:t>智能粮库管理系统中智能仓储、智能安防、综合业务和出入库作业数据上传全面、及时、准确。</w:t>
      </w:r>
    </w:p>
    <w:p w14:paraId="543A0B61">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val="0"/>
          <w:kern w:val="0"/>
          <w:sz w:val="32"/>
          <w:szCs w:val="32"/>
          <w:lang w:val="en-US" w:eastAsia="zh-CN"/>
        </w:rPr>
      </w:pPr>
      <w:r>
        <w:rPr>
          <w:rFonts w:hint="eastAsia" w:ascii="黑体" w:hAnsi="黑体" w:eastAsia="黑体" w:cs="黑体"/>
          <w:b w:val="0"/>
          <w:bCs w:val="0"/>
          <w:kern w:val="0"/>
          <w:sz w:val="32"/>
          <w:szCs w:val="32"/>
          <w:lang w:val="en-US" w:eastAsia="zh-CN"/>
        </w:rPr>
        <w:t>二、绩效评价工作开展情况</w:t>
      </w:r>
    </w:p>
    <w:p w14:paraId="08D6BFE6">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hint="eastAsia"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（一）绩效评价目的、对象和范围</w:t>
      </w:r>
    </w:p>
    <w:p w14:paraId="5377BC60">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hint="eastAsia"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绩效评价目的旨在进一步规范专项资金管理，强化绩效和责任意识，切实提高专项资金使用效益。评价对象为</w:t>
      </w:r>
      <w:r>
        <w:rPr>
          <w:rFonts w:hint="eastAsia" w:ascii="仿宋_GB2312" w:hAnsi="宋体" w:eastAsia="仿宋_GB2312" w:cs="宋体"/>
          <w:kern w:val="0"/>
          <w:sz w:val="32"/>
          <w:szCs w:val="32"/>
          <w:lang w:val="en-US" w:eastAsia="zh-CN"/>
        </w:rPr>
        <w:t>县粮食储备库仓储设施专项经费项目</w:t>
      </w:r>
      <w:r>
        <w:rPr>
          <w:rFonts w:hint="eastAsia" w:ascii="仿宋_GB2312" w:eastAsia="仿宋_GB2312" w:cs="Times New Roman"/>
          <w:color w:val="000000" w:themeColor="text1"/>
          <w:sz w:val="32"/>
          <w:szCs w:val="32"/>
          <w:lang w:val="en-US" w:eastAsia="zh-CN"/>
          <w14:textFill>
            <w14:solidFill>
              <w14:schemeClr w14:val="tx1"/>
            </w14:solidFill>
          </w14:textFill>
        </w:rPr>
        <w:t>，评价范围包括2024年</w:t>
      </w:r>
      <w:r>
        <w:rPr>
          <w:rFonts w:hint="eastAsia" w:ascii="仿宋_GB2312" w:hAnsi="宋体" w:eastAsia="仿宋_GB2312" w:cs="宋体"/>
          <w:kern w:val="0"/>
          <w:sz w:val="32"/>
          <w:szCs w:val="32"/>
          <w:lang w:val="en-US" w:eastAsia="zh-CN"/>
        </w:rPr>
        <w:t>县粮食储备库仓储设施专项经费项目</w:t>
      </w:r>
      <w:r>
        <w:rPr>
          <w:rFonts w:hint="eastAsia" w:ascii="仿宋_GB2312" w:eastAsia="仿宋_GB2312" w:cs="Times New Roman"/>
          <w:color w:val="000000" w:themeColor="text1"/>
          <w:sz w:val="32"/>
          <w:szCs w:val="32"/>
          <w:lang w:val="en-US" w:eastAsia="zh-CN"/>
          <w14:textFill>
            <w14:solidFill>
              <w14:schemeClr w14:val="tx1"/>
            </w14:solidFill>
          </w14:textFill>
        </w:rPr>
        <w:t>支出。</w:t>
      </w:r>
    </w:p>
    <w:p w14:paraId="178F9C4B">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ascii="仿宋" w:hAnsi="仿宋" w:eastAsia="仿宋" w:cs="仿宋"/>
          <w:spacing w:val="1"/>
          <w:sz w:val="31"/>
          <w:szCs w:val="31"/>
        </w:rPr>
      </w:pPr>
      <w:r>
        <w:rPr>
          <w:rFonts w:hint="eastAsia" w:ascii="仿宋_GB2312" w:eastAsia="仿宋_GB2312" w:cs="Times New Roman"/>
          <w:color w:val="000000" w:themeColor="text1"/>
          <w:sz w:val="32"/>
          <w:szCs w:val="32"/>
          <w:lang w:val="en-US" w:eastAsia="zh-CN"/>
          <w14:textFill>
            <w14:solidFill>
              <w14:schemeClr w14:val="tx1"/>
            </w14:solidFill>
          </w14:textFill>
        </w:rPr>
        <w:t>（二）绩效评价原则、评价指标体系、评价方法、评</w:t>
      </w:r>
      <w:r>
        <w:rPr>
          <w:rFonts w:ascii="仿宋" w:hAnsi="仿宋" w:eastAsia="仿宋" w:cs="仿宋"/>
          <w:spacing w:val="1"/>
          <w:sz w:val="31"/>
          <w:szCs w:val="31"/>
        </w:rPr>
        <w:t>价标准</w:t>
      </w:r>
    </w:p>
    <w:p w14:paraId="64DCBE24">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hint="eastAsia"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本次绩效评价采用自评的方式，遵循客观公正、公开透明的原则，以材料核查、访谈、座谈、问卷调查、选点抽查为基础，综合运用对比分析等方法，从决策、管理、产出、效益四个方面对项目资金的使用管理、综合效益等内容进行评价。</w:t>
      </w:r>
    </w:p>
    <w:p w14:paraId="40396F80">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hint="eastAsia"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(三)绩效评价工作过程</w:t>
      </w:r>
    </w:p>
    <w:p w14:paraId="784CDB72">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hint="default" w:ascii="仿宋_GB2312" w:eastAsia="仿宋_GB2312" w:cs="Times New Roman"/>
          <w:color w:val="000000" w:themeColor="text1"/>
          <w:sz w:val="32"/>
          <w:szCs w:val="32"/>
          <w:lang w:val="en-US" w:eastAsia="zh-CN"/>
          <w14:textFill>
            <w14:solidFill>
              <w14:schemeClr w14:val="tx1"/>
            </w14:solidFill>
          </w14:textFill>
        </w:rPr>
      </w:pPr>
      <w:r>
        <w:rPr>
          <w:rFonts w:hint="default" w:ascii="仿宋_GB2312" w:eastAsia="仿宋_GB2312" w:cs="Times New Roman"/>
          <w:color w:val="000000" w:themeColor="text1"/>
          <w:sz w:val="32"/>
          <w:szCs w:val="32"/>
          <w:lang w:val="en-US" w:eastAsia="zh-CN"/>
          <w14:textFill>
            <w14:solidFill>
              <w14:schemeClr w14:val="tx1"/>
            </w14:solidFill>
          </w14:textFill>
        </w:rPr>
        <w:t>根据《湖南省预算支出绩效评价管理办法》（湘财绩〔2020〕7号）</w:t>
      </w:r>
      <w:r>
        <w:rPr>
          <w:rFonts w:hint="eastAsia" w:ascii="仿宋_GB2312" w:eastAsia="仿宋_GB2312" w:cs="Times New Roman"/>
          <w:color w:val="000000" w:themeColor="text1"/>
          <w:sz w:val="32"/>
          <w:szCs w:val="32"/>
          <w:lang w:val="en-US" w:eastAsia="zh-CN"/>
          <w14:textFill>
            <w14:solidFill>
              <w14:schemeClr w14:val="tx1"/>
            </w14:solidFill>
          </w14:textFill>
        </w:rPr>
        <w:t>等</w:t>
      </w:r>
      <w:r>
        <w:rPr>
          <w:rFonts w:hint="default" w:ascii="仿宋_GB2312" w:eastAsia="仿宋_GB2312" w:cs="Times New Roman"/>
          <w:color w:val="000000" w:themeColor="text1"/>
          <w:sz w:val="32"/>
          <w:szCs w:val="32"/>
          <w:lang w:val="en-US" w:eastAsia="zh-CN"/>
          <w14:textFill>
            <w14:solidFill>
              <w14:schemeClr w14:val="tx1"/>
            </w14:solidFill>
          </w14:textFill>
        </w:rPr>
        <w:t>文件要求，我单位成立了绩效自评工作小组，</w:t>
      </w:r>
      <w:r>
        <w:rPr>
          <w:rFonts w:hint="eastAsia" w:ascii="仿宋_GB2312" w:hAnsi="宋体" w:eastAsia="仿宋_GB2312" w:cs="宋体"/>
          <w:kern w:val="0"/>
          <w:sz w:val="32"/>
          <w:szCs w:val="32"/>
          <w:lang w:eastAsia="zh-CN"/>
        </w:rPr>
        <w:t>对</w:t>
      </w:r>
      <w:r>
        <w:rPr>
          <w:rFonts w:hint="eastAsia" w:ascii="仿宋_GB2312" w:hAnsi="宋体" w:eastAsia="仿宋_GB2312" w:cs="宋体"/>
          <w:kern w:val="0"/>
          <w:sz w:val="32"/>
          <w:szCs w:val="32"/>
          <w:lang w:val="en-US" w:eastAsia="zh-CN"/>
        </w:rPr>
        <w:t>2024年我县粮食储备库仓储设施专项经费项目</w:t>
      </w:r>
      <w:r>
        <w:rPr>
          <w:rFonts w:hint="default" w:ascii="仿宋_GB2312" w:eastAsia="仿宋_GB2312" w:cs="Times New Roman"/>
          <w:color w:val="000000" w:themeColor="text1"/>
          <w:sz w:val="32"/>
          <w:szCs w:val="32"/>
          <w:lang w:val="en-US" w:eastAsia="zh-CN"/>
          <w14:textFill>
            <w14:solidFill>
              <w14:schemeClr w14:val="tx1"/>
            </w14:solidFill>
          </w14:textFill>
        </w:rPr>
        <w:t>支出开展了绩效自评工作。组织人员收集项目资料，检查会计凭证，在规定的时间内，对项目的实施过程进行了全面、科学、细致的评价。</w:t>
      </w:r>
    </w:p>
    <w:p w14:paraId="7E6A0831">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val="0"/>
          <w:kern w:val="0"/>
          <w:sz w:val="32"/>
          <w:szCs w:val="32"/>
          <w:lang w:val="en-US" w:eastAsia="zh-CN"/>
        </w:rPr>
      </w:pPr>
      <w:r>
        <w:rPr>
          <w:rFonts w:hint="eastAsia" w:ascii="黑体" w:hAnsi="黑体" w:eastAsia="黑体" w:cs="黑体"/>
          <w:b w:val="0"/>
          <w:bCs w:val="0"/>
          <w:kern w:val="0"/>
          <w:sz w:val="32"/>
          <w:szCs w:val="32"/>
          <w:lang w:val="en-US" w:eastAsia="zh-CN"/>
        </w:rPr>
        <w:t>三、综合评价情况及评价结论</w:t>
      </w:r>
    </w:p>
    <w:p w14:paraId="15003517">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本次自评，对照项目绩效目标，从项目预算编制、项目组织管理、资金使用、项目产出、项目效益、满意度等方面逐一分析评价，总体自评得分100分，绩效评价等级为“优”。</w:t>
      </w:r>
    </w:p>
    <w:p w14:paraId="699D53BA">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val="0"/>
          <w:kern w:val="0"/>
          <w:sz w:val="32"/>
          <w:szCs w:val="32"/>
          <w:lang w:val="en-US" w:eastAsia="zh-CN"/>
        </w:rPr>
      </w:pPr>
      <w:r>
        <w:rPr>
          <w:rFonts w:hint="eastAsia" w:ascii="黑体" w:hAnsi="黑体" w:eastAsia="黑体" w:cs="黑体"/>
          <w:b w:val="0"/>
          <w:bCs w:val="0"/>
          <w:kern w:val="0"/>
          <w:sz w:val="32"/>
          <w:szCs w:val="32"/>
          <w:lang w:val="en-US" w:eastAsia="zh-CN"/>
        </w:rPr>
        <w:t xml:space="preserve">四、绩效评价指标分析 </w:t>
      </w:r>
    </w:p>
    <w:p w14:paraId="6CDA98BA">
      <w:pPr>
        <w:keepNext w:val="0"/>
        <w:keepLines w:val="0"/>
        <w:pageBreakBefore w:val="0"/>
        <w:kinsoku/>
        <w:wordWrap/>
        <w:overflowPunct/>
        <w:topLinePunct w:val="0"/>
        <w:autoSpaceDE/>
        <w:autoSpaceDN/>
        <w:bidi w:val="0"/>
        <w:adjustRightInd/>
        <w:snapToGrid/>
        <w:spacing w:before="74" w:line="600" w:lineRule="exact"/>
        <w:ind w:left="194" w:firstLine="640" w:firstLineChars="200"/>
        <w:textAlignment w:val="auto"/>
        <w:rPr>
          <w:rFonts w:hint="default"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(一)项目决策情况。</w:t>
      </w:r>
      <w:r>
        <w:rPr>
          <w:rFonts w:hint="eastAsia" w:ascii="仿宋_GB2312" w:hAnsi="宋体" w:eastAsia="仿宋_GB2312" w:cs="宋体"/>
          <w:kern w:val="0"/>
          <w:sz w:val="32"/>
          <w:szCs w:val="32"/>
          <w:lang w:val="en-US" w:eastAsia="zh-CN"/>
        </w:rPr>
        <w:t>县粮食储备库仓储设施专项经费项目</w:t>
      </w:r>
      <w:r>
        <w:rPr>
          <w:rFonts w:hint="eastAsia" w:ascii="仿宋_GB2312" w:eastAsia="仿宋_GB2312" w:cs="Times New Roman"/>
          <w:color w:val="000000" w:themeColor="text1"/>
          <w:sz w:val="32"/>
          <w:szCs w:val="32"/>
          <w:lang w:val="en-US" w:eastAsia="zh-CN"/>
          <w14:textFill>
            <w14:solidFill>
              <w14:schemeClr w14:val="tx1"/>
            </w14:solidFill>
          </w14:textFill>
        </w:rPr>
        <w:t>属政策性项目，</w:t>
      </w:r>
      <w:r>
        <w:rPr>
          <w:rFonts w:hint="eastAsia" w:ascii="仿宋_GB2312" w:hAnsi="宋体" w:eastAsia="仿宋_GB2312" w:cs="宋体"/>
          <w:kern w:val="0"/>
          <w:sz w:val="32"/>
          <w:szCs w:val="32"/>
          <w:lang w:eastAsia="zh-CN"/>
        </w:rPr>
        <w:t>项目预算及预期绩效目标</w:t>
      </w:r>
      <w:r>
        <w:rPr>
          <w:rFonts w:hint="eastAsia" w:ascii="仿宋_GB2312" w:hAnsi="宋体" w:eastAsia="仿宋_GB2312" w:cs="宋体"/>
          <w:kern w:val="0"/>
          <w:sz w:val="32"/>
          <w:szCs w:val="32"/>
          <w:lang w:val="en-US" w:eastAsia="zh-CN"/>
        </w:rPr>
        <w:t>编制均由省、市、县各级层面按程序严格审议决定，预算费用标准契合我县实际，预算执行率100%。</w:t>
      </w:r>
    </w:p>
    <w:p w14:paraId="658A9C2F">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仿宋_GB2312" w:hAnsi="宋体" w:eastAsia="仿宋_GB2312" w:cs="仿宋_GB2312"/>
          <w:i w:val="0"/>
          <w:iCs w:val="0"/>
          <w:caps w:val="0"/>
          <w:color w:val="000000"/>
          <w:spacing w:val="0"/>
          <w:sz w:val="31"/>
          <w:szCs w:val="31"/>
          <w:shd w:val="clear" w:fill="FFFFFF"/>
          <w:lang w:val="en-US" w:eastAsia="zh-CN"/>
        </w:rPr>
      </w:pPr>
      <w:r>
        <w:rPr>
          <w:rFonts w:hint="eastAsia" w:ascii="仿宋_GB2312" w:eastAsia="仿宋_GB2312" w:cs="Times New Roman"/>
          <w:color w:val="000000" w:themeColor="text1"/>
          <w:sz w:val="32"/>
          <w:szCs w:val="32"/>
          <w:lang w:val="en-US" w:eastAsia="zh-CN"/>
          <w14:textFill>
            <w14:solidFill>
              <w14:schemeClr w14:val="tx1"/>
            </w14:solidFill>
          </w14:textFill>
        </w:rPr>
        <w:t>(二)项目过程情况。</w:t>
      </w:r>
      <w:r>
        <w:rPr>
          <w:rFonts w:hint="eastAsia" w:ascii="仿宋_GB2312" w:hAnsi="仿宋_GB2312" w:eastAsia="仿宋_GB2312" w:cs="仿宋_GB2312"/>
          <w:color w:val="000000"/>
          <w:sz w:val="32"/>
          <w:szCs w:val="32"/>
          <w:lang w:val="en-US" w:eastAsia="zh-CN"/>
        </w:rPr>
        <w:t>严格</w:t>
      </w:r>
      <w:r>
        <w:rPr>
          <w:rFonts w:hint="eastAsia" w:ascii="仿宋_GB2312" w:hAnsi="仿宋" w:eastAsia="仿宋_GB2312" w:cs="??_GB2312"/>
          <w:kern w:val="0"/>
          <w:sz w:val="32"/>
          <w:szCs w:val="32"/>
          <w:lang w:val="en-US" w:eastAsia="zh-CN"/>
        </w:rPr>
        <w:t>按照询价、定价、比选等程序组织实施</w:t>
      </w:r>
      <w:r>
        <w:rPr>
          <w:rFonts w:hint="eastAsia" w:ascii="仿宋_GB2312" w:hAnsi="宋体" w:eastAsia="仿宋_GB2312" w:cs="仿宋_GB2312"/>
          <w:i w:val="0"/>
          <w:iCs w:val="0"/>
          <w:caps w:val="0"/>
          <w:color w:val="000000"/>
          <w:spacing w:val="0"/>
          <w:sz w:val="31"/>
          <w:szCs w:val="31"/>
          <w:shd w:val="clear" w:fill="FFFFFF"/>
          <w:lang w:val="en-US" w:eastAsia="zh-CN"/>
        </w:rPr>
        <w:t>。资金支出合理合规，没有出现超出项目预算范围，与本项目预算不相符、无关或不符合国家财经法规和财务管理制度以及专项资金管理办法等规定的支出。</w:t>
      </w:r>
    </w:p>
    <w:p w14:paraId="51DA8679">
      <w:pPr>
        <w:keepNext w:val="0"/>
        <w:keepLines w:val="0"/>
        <w:pageBreakBefore w:val="0"/>
        <w:kinsoku/>
        <w:wordWrap/>
        <w:overflowPunct/>
        <w:topLinePunct w:val="0"/>
        <w:autoSpaceDE/>
        <w:autoSpaceDN/>
        <w:bidi w:val="0"/>
        <w:adjustRightInd/>
        <w:snapToGrid/>
        <w:spacing w:line="600" w:lineRule="exact"/>
        <w:ind w:firstLine="620" w:firstLineChars="200"/>
        <w:textAlignment w:val="auto"/>
        <w:rPr>
          <w:rFonts w:hint="default"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hAnsi="宋体" w:eastAsia="仿宋_GB2312" w:cs="仿宋_GB2312"/>
          <w:i w:val="0"/>
          <w:iCs w:val="0"/>
          <w:caps w:val="0"/>
          <w:color w:val="000000"/>
          <w:spacing w:val="0"/>
          <w:sz w:val="31"/>
          <w:szCs w:val="31"/>
          <w:shd w:val="clear" w:fill="FFFFFF"/>
          <w:lang w:val="en-US" w:eastAsia="zh-CN"/>
        </w:rPr>
        <w:t>(三)项</w:t>
      </w:r>
      <w:r>
        <w:rPr>
          <w:rFonts w:hint="eastAsia" w:ascii="仿宋_GB2312" w:eastAsia="仿宋_GB2312" w:cs="Times New Roman"/>
          <w:color w:val="000000" w:themeColor="text1"/>
          <w:sz w:val="32"/>
          <w:szCs w:val="32"/>
          <w:lang w:val="en-US" w:eastAsia="zh-CN"/>
          <w14:textFill>
            <w14:solidFill>
              <w14:schemeClr w14:val="tx1"/>
            </w14:solidFill>
          </w14:textFill>
        </w:rPr>
        <w:t>目产出情况。</w:t>
      </w:r>
      <w:r>
        <w:rPr>
          <w:rFonts w:hint="eastAsia" w:ascii="仿宋_GB2312" w:hAnsi="宋体" w:eastAsia="仿宋_GB2312" w:cs="宋体"/>
          <w:kern w:val="0"/>
          <w:sz w:val="32"/>
          <w:szCs w:val="32"/>
          <w:lang w:val="en-US" w:eastAsia="zh-CN"/>
        </w:rPr>
        <w:t>进一步完善粮油仓储设施，提升信息化管理水平</w:t>
      </w:r>
    </w:p>
    <w:p w14:paraId="211C5B36">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(四)项目效益情况。仓储条件得到有效改善和提升。</w:t>
      </w:r>
    </w:p>
    <w:p w14:paraId="4F61FEF8">
      <w:pPr>
        <w:keepNext w:val="0"/>
        <w:keepLines w:val="0"/>
        <w:pageBreakBefore w:val="0"/>
        <w:widowControl w:val="0"/>
        <w:kinsoku/>
        <w:wordWrap/>
        <w:overflowPunct/>
        <w:topLinePunct w:val="0"/>
        <w:autoSpaceDE/>
        <w:autoSpaceDN/>
        <w:bidi w:val="0"/>
        <w:adjustRightInd/>
        <w:snapToGrid/>
        <w:spacing w:line="600" w:lineRule="exact"/>
        <w:ind w:firstLine="652" w:firstLineChars="200"/>
        <w:textAlignment w:val="auto"/>
        <w:rPr>
          <w:rFonts w:hint="eastAsia" w:ascii="仿宋" w:hAnsi="仿宋" w:eastAsia="仿宋" w:cs="仿宋"/>
          <w:sz w:val="32"/>
          <w:szCs w:val="32"/>
          <w:lang w:val="en-US" w:eastAsia="zh-CN"/>
        </w:rPr>
      </w:pPr>
      <w:r>
        <w:rPr>
          <w:rFonts w:hint="eastAsia" w:ascii="黑体" w:hAnsi="黑体" w:eastAsia="黑体" w:cs="黑体"/>
          <w:spacing w:val="3"/>
          <w:sz w:val="32"/>
          <w:szCs w:val="32"/>
        </w:rPr>
        <w:t>五、</w:t>
      </w:r>
      <w:r>
        <w:rPr>
          <w:rFonts w:hint="eastAsia" w:ascii="黑体" w:hAnsi="黑体" w:eastAsia="黑体" w:cs="黑体"/>
          <w:spacing w:val="-53"/>
          <w:sz w:val="32"/>
          <w:szCs w:val="32"/>
        </w:rPr>
        <w:t xml:space="preserve"> </w:t>
      </w:r>
      <w:r>
        <w:rPr>
          <w:rFonts w:hint="eastAsia" w:ascii="黑体" w:hAnsi="黑体" w:eastAsia="黑体" w:cs="黑体"/>
          <w:spacing w:val="3"/>
          <w:sz w:val="32"/>
          <w:szCs w:val="32"/>
        </w:rPr>
        <w:t>主要经验及做法、存在的问题及原因分析</w:t>
      </w:r>
    </w:p>
    <w:p w14:paraId="02BF8ED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（一）主要经验及做法</w:t>
      </w:r>
    </w:p>
    <w:p w14:paraId="6A2FA071">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加强制度约束。深入研究《政府储备粮食仓储管理办法》《粮食流通管理条例》《粮油仓储管理办法》《国有粮油仓储物流设施保护办法》等一系列政策文件，在县发改部门的指导下，制定出台《粮食质量安全档案制度》等6项安全生产制度，参照总公司建立完善《储备粮轮换制度》等4项</w:t>
      </w:r>
      <w:r>
        <w:rPr>
          <w:rFonts w:hint="default" w:ascii="仿宋_GB2312" w:eastAsia="仿宋_GB2312"/>
          <w:sz w:val="32"/>
          <w:szCs w:val="32"/>
          <w:lang w:val="en-US" w:eastAsia="zh-CN"/>
        </w:rPr>
        <w:t>现代企业制度和《</w:t>
      </w:r>
      <w:r>
        <w:rPr>
          <w:rFonts w:hint="eastAsia" w:ascii="仿宋_GB2312" w:eastAsia="仿宋_GB2312"/>
          <w:sz w:val="32"/>
          <w:szCs w:val="32"/>
          <w:lang w:val="en-US" w:eastAsia="zh-CN"/>
        </w:rPr>
        <w:t>财务管理</w:t>
      </w:r>
      <w:r>
        <w:rPr>
          <w:rFonts w:hint="default" w:ascii="仿宋_GB2312" w:eastAsia="仿宋_GB2312"/>
          <w:sz w:val="32"/>
          <w:szCs w:val="32"/>
          <w:lang w:val="en-US" w:eastAsia="zh-CN"/>
        </w:rPr>
        <w:t>制度》等</w:t>
      </w:r>
      <w:r>
        <w:rPr>
          <w:rFonts w:hint="eastAsia" w:ascii="仿宋_GB2312" w:eastAsia="仿宋_GB2312"/>
          <w:sz w:val="32"/>
          <w:szCs w:val="32"/>
          <w:lang w:val="en-US" w:eastAsia="zh-CN"/>
        </w:rPr>
        <w:t>5项</w:t>
      </w:r>
      <w:r>
        <w:rPr>
          <w:rFonts w:hint="default" w:ascii="仿宋_GB2312" w:eastAsia="仿宋_GB2312"/>
          <w:sz w:val="32"/>
          <w:szCs w:val="32"/>
          <w:lang w:val="en-US" w:eastAsia="zh-CN"/>
        </w:rPr>
        <w:t>内控制度</w:t>
      </w:r>
      <w:r>
        <w:rPr>
          <w:rFonts w:hint="eastAsia" w:ascii="仿宋_GB2312" w:eastAsia="仿宋_GB2312"/>
          <w:sz w:val="32"/>
          <w:szCs w:val="32"/>
          <w:lang w:val="en-US" w:eastAsia="zh-CN"/>
        </w:rPr>
        <w:t>，进一步规范企业内部管理，做到以制度管事管人。</w:t>
      </w:r>
    </w:p>
    <w:p w14:paraId="27680A3C">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2.坚持问题整改。2024年，省市先后4批次前来我库检查粮油库存工作，交办整改事项12个（其中3月15日市发改委2022年地方储备粮管理考核工作发现问题2个，4月27日市对县地方储备粮库存暨二季度定期巡查工作发现问题5个，5月23日省交叉检查组发现问题2个,9月5日市对县地方储备粮库存暨三季度定期巡查工作发现问题3个），目前已经全部整改到位。</w:t>
      </w:r>
    </w:p>
    <w:p w14:paraId="7A7DEDBE">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宋体" w:eastAsia="仿宋_GB2312" w:cs="宋体"/>
          <w:kern w:val="0"/>
          <w:sz w:val="32"/>
          <w:szCs w:val="32"/>
        </w:rPr>
      </w:pPr>
      <w:r>
        <w:rPr>
          <w:rFonts w:hint="eastAsia" w:ascii="仿宋_GB2312" w:eastAsia="仿宋_GB2312"/>
          <w:sz w:val="32"/>
          <w:szCs w:val="32"/>
          <w:lang w:val="en-US" w:eastAsia="zh-CN"/>
        </w:rPr>
        <w:t>3.强化程序管控。严格执行《湖南省地方储备粮管理办法》等法律法规及政策性文件要求，地方储备粮出库入库、基础设施改造提升、粮油检测检验等专项工作提请研究到位、合同审签到位、挂网招标公开到位，杜绝一切腐败风险点。</w:t>
      </w:r>
      <w:r>
        <w:rPr>
          <w:rFonts w:hint="eastAsia" w:ascii="仿宋_GB2312" w:hAnsi="仿宋" w:eastAsia="仿宋_GB2312" w:cs="??_GB2312"/>
          <w:b w:val="0"/>
          <w:color w:val="auto"/>
          <w:kern w:val="0"/>
          <w:sz w:val="32"/>
          <w:szCs w:val="32"/>
          <w:lang w:val="en-US" w:eastAsia="zh-CN" w:bidi="ar-SA"/>
        </w:rPr>
        <w:t>　</w:t>
      </w:r>
      <w:r>
        <w:rPr>
          <w:rFonts w:hint="eastAsia" w:ascii="仿宋_GB2312" w:hAnsi="宋体" w:eastAsia="仿宋_GB2312" w:cs="宋体"/>
          <w:kern w:val="0"/>
          <w:sz w:val="32"/>
          <w:szCs w:val="32"/>
        </w:rPr>
        <w:t xml:space="preserve"> </w:t>
      </w:r>
    </w:p>
    <w:p w14:paraId="21F66486">
      <w:pPr>
        <w:keepNext w:val="0"/>
        <w:keepLines w:val="0"/>
        <w:pageBreakBefore w:val="0"/>
        <w:widowControl w:val="0"/>
        <w:kinsoku/>
        <w:wordWrap/>
        <w:overflowPunct/>
        <w:topLinePunct w:val="0"/>
        <w:autoSpaceDE/>
        <w:autoSpaceDN/>
        <w:bidi w:val="0"/>
        <w:adjustRightInd/>
        <w:snapToGrid/>
        <w:spacing w:line="600" w:lineRule="exact"/>
        <w:ind w:firstLine="652" w:firstLineChars="200"/>
        <w:textAlignment w:val="auto"/>
        <w:rPr>
          <w:rFonts w:hint="eastAsia" w:ascii="仿宋_GB2312" w:hAnsi="宋体" w:eastAsia="仿宋_GB2312" w:cs="宋体"/>
          <w:kern w:val="0"/>
          <w:sz w:val="32"/>
          <w:szCs w:val="32"/>
        </w:rPr>
      </w:pPr>
      <w:r>
        <w:rPr>
          <w:rFonts w:hint="eastAsia" w:ascii="黑体" w:hAnsi="黑体" w:eastAsia="黑体" w:cs="黑体"/>
          <w:spacing w:val="3"/>
          <w:sz w:val="32"/>
          <w:szCs w:val="32"/>
        </w:rPr>
        <w:t>六、建议</w:t>
      </w:r>
      <w:r>
        <w:rPr>
          <w:rFonts w:hint="eastAsia" w:ascii="黑体" w:hAnsi="黑体" w:eastAsia="黑体" w:cs="黑体"/>
          <w:spacing w:val="3"/>
          <w:sz w:val="32"/>
          <w:szCs w:val="32"/>
          <w:lang w:val="en-US" w:eastAsia="zh-CN"/>
        </w:rPr>
        <w:t>意见</w:t>
      </w:r>
      <w:r>
        <w:rPr>
          <w:rFonts w:hint="eastAsia" w:ascii="仿宋_GB2312" w:hAnsi="宋体" w:eastAsia="仿宋_GB2312" w:cs="宋体"/>
          <w:b/>
          <w:bCs/>
          <w:kern w:val="0"/>
          <w:sz w:val="32"/>
          <w:szCs w:val="32"/>
        </w:rPr>
        <w:t xml:space="preserve">　　　　 </w:t>
      </w:r>
      <w:bookmarkStart w:id="0" w:name="_GoBack"/>
      <w:bookmarkEnd w:id="0"/>
    </w:p>
    <w:p w14:paraId="28910389">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请求及时拨付</w:t>
      </w:r>
      <w:r>
        <w:rPr>
          <w:rFonts w:hint="eastAsia" w:ascii="仿宋_GB2312" w:hAnsi="宋体" w:eastAsia="仿宋_GB2312" w:cs="宋体"/>
          <w:kern w:val="0"/>
          <w:sz w:val="32"/>
          <w:szCs w:val="32"/>
          <w:lang w:val="en-US" w:eastAsia="zh-CN"/>
        </w:rPr>
        <w:t>仓储设施专项经费</w:t>
      </w:r>
      <w:r>
        <w:rPr>
          <w:rFonts w:hint="eastAsia" w:ascii="仿宋_GB2312" w:eastAsia="仿宋_GB2312"/>
          <w:sz w:val="32"/>
          <w:szCs w:val="32"/>
          <w:lang w:val="en-US" w:eastAsia="zh-CN"/>
        </w:rPr>
        <w:t>。</w:t>
      </w:r>
    </w:p>
    <w:p w14:paraId="557962BB">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sz w:val="32"/>
          <w:szCs w:val="32"/>
          <w:lang w:val="en-US" w:eastAsia="zh-CN"/>
        </w:rPr>
      </w:pPr>
    </w:p>
    <w:p w14:paraId="73D8FD37">
      <w:pPr>
        <w:keepNext w:val="0"/>
        <w:keepLines w:val="0"/>
        <w:pageBreakBefore w:val="0"/>
        <w:widowControl/>
        <w:shd w:val="clear" w:color="auto" w:fill="FFFFFF"/>
        <w:kinsoku/>
        <w:wordWrap/>
        <w:overflowPunct/>
        <w:topLinePunct w:val="0"/>
        <w:autoSpaceDE/>
        <w:autoSpaceDN/>
        <w:bidi w:val="0"/>
        <w:adjustRightInd/>
        <w:snapToGrid/>
        <w:spacing w:line="600" w:lineRule="exact"/>
        <w:jc w:val="right"/>
        <w:textAlignment w:val="auto"/>
        <w:rPr>
          <w:rFonts w:hint="eastAsia" w:ascii="仿宋_GB2312" w:hAnsi="仿宋_GB2312" w:eastAsia="仿宋_GB2312" w:cs="仿宋_GB2312"/>
          <w:color w:val="000000"/>
          <w:kern w:val="0"/>
          <w:sz w:val="32"/>
          <w:szCs w:val="32"/>
        </w:rPr>
      </w:pPr>
      <w:r>
        <w:rPr>
          <w:rFonts w:hint="eastAsia" w:ascii="仿宋_GB2312" w:eastAsia="仿宋_GB2312"/>
          <w:kern w:val="0"/>
          <w:sz w:val="32"/>
          <w:szCs w:val="32"/>
          <w:lang w:val="en-US" w:eastAsia="zh-CN"/>
        </w:rPr>
        <w:t>新晃县发展和改革局</w:t>
      </w:r>
    </w:p>
    <w:p w14:paraId="19A7D597">
      <w:pPr>
        <w:keepNext w:val="0"/>
        <w:keepLines w:val="0"/>
        <w:pageBreakBefore w:val="0"/>
        <w:kinsoku/>
        <w:wordWrap/>
        <w:overflowPunct/>
        <w:topLinePunct w:val="0"/>
        <w:autoSpaceDE/>
        <w:autoSpaceDN/>
        <w:bidi w:val="0"/>
        <w:adjustRightInd/>
        <w:snapToGrid/>
        <w:spacing w:line="600" w:lineRule="exact"/>
        <w:jc w:val="right"/>
        <w:textAlignment w:val="auto"/>
      </w:pPr>
      <w:r>
        <w:rPr>
          <w:rFonts w:hint="eastAsia" w:ascii="仿宋_GB2312" w:hAnsi="仿宋_GB2312" w:eastAsia="仿宋_GB2312" w:cs="仿宋_GB2312"/>
          <w:color w:val="000000"/>
          <w:kern w:val="0"/>
          <w:sz w:val="32"/>
          <w:szCs w:val="32"/>
          <w:lang w:val="en-US" w:eastAsia="zh-CN"/>
        </w:rPr>
        <w:t xml:space="preserve">                 2025年3月10日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5Yzc0ZmYxY2U1NzkyMTY2MmIwY2YxZTRjM2U5YTcifQ=="/>
  </w:docVars>
  <w:rsids>
    <w:rsidRoot w:val="54413EF3"/>
    <w:rsid w:val="0A88590B"/>
    <w:rsid w:val="0D141E8E"/>
    <w:rsid w:val="19A708E6"/>
    <w:rsid w:val="1AE87E2C"/>
    <w:rsid w:val="21DD478E"/>
    <w:rsid w:val="22920F48"/>
    <w:rsid w:val="32314512"/>
    <w:rsid w:val="3C0D06AF"/>
    <w:rsid w:val="54413EF3"/>
    <w:rsid w:val="55B1374B"/>
    <w:rsid w:val="5A323D67"/>
    <w:rsid w:val="609A1635"/>
    <w:rsid w:val="62A414BE"/>
    <w:rsid w:val="678F7AF3"/>
    <w:rsid w:val="6B26625E"/>
    <w:rsid w:val="7850011B"/>
    <w:rsid w:val="7AC978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样式1"/>
    <w:basedOn w:val="1"/>
    <w:qFormat/>
    <w:uiPriority w:val="0"/>
    <w:rPr>
      <w:b/>
      <w:color w:val="538135"/>
      <w:sz w:val="28"/>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1775</Words>
  <Characters>1837</Characters>
  <Lines>0</Lines>
  <Paragraphs>0</Paragraphs>
  <TotalTime>0</TotalTime>
  <ScaleCrop>false</ScaleCrop>
  <LinksUpToDate>false</LinksUpToDate>
  <CharactersWithSpaces>1863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2022-05-24T06:22:00Z</dcterms:created>
  <dc:creator>lenovo</dc:creator>
  <cp:lastModifiedBy>lenovo</cp:lastModifiedBy>
  <dcterms:modified xsi:type="dcterms:W3CDTF">2025-03-20T10:48:41Z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AD802DA5746D450197962E6D866D478A_13</vt:lpwstr>
  </property>
  <property fmtid="{D5CDD505-2E9C-101B-9397-08002B2CF9AE}" pid="4" name="KSOTemplateDocerSaveRecord">
    <vt:lpwstr>eyJoZGlkIjoiYjUyMTYzMDBiOWIzNTEyNTNiYTAwNjEwZTBkNDU5YTAifQ==</vt:lpwstr>
  </property>
</Properties>
</file>